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69" w:rsidRDefault="00DC5D69">
      <w:r>
        <w:rPr>
          <w:noProof/>
        </w:rPr>
        <w:pict>
          <v:shapetype id="_x0000_t202" coordsize="21600,21600" o:spt="202" path="m,l,21600r21600,l21600,xe">
            <v:stroke joinstyle="miter"/>
            <v:path gradientshapeok="t" o:connecttype="rect"/>
          </v:shapetype>
          <v:shape id="_x0000_s1026" type="#_x0000_t202" style="position:absolute;margin-left:-34.4pt;margin-top:-13.6pt;width:516.35pt;height:131pt;z-index:251658240" strokecolor="white [3212]">
            <v:textbox style="mso-next-textbox:#_x0000_s1026">
              <w:txbxContent>
                <w:p w:rsidR="00DC5D69" w:rsidRDefault="00DC5D69" w:rsidP="00DC5D69">
                  <w:pPr>
                    <w:spacing w:line="360" w:lineRule="auto"/>
                    <w:ind w:left="-180"/>
                    <w:jc w:val="center"/>
                    <w:rPr>
                      <w:rFonts w:asciiTheme="majorHAnsi" w:hAnsiTheme="majorHAnsi"/>
                      <w:b/>
                      <w:color w:val="1F497D" w:themeColor="text2"/>
                      <w:sz w:val="28"/>
                      <w:szCs w:val="28"/>
                    </w:rPr>
                  </w:pPr>
                  <w:r>
                    <w:rPr>
                      <w:rFonts w:asciiTheme="majorHAnsi" w:hAnsiTheme="majorHAnsi"/>
                      <w:b/>
                      <w:color w:val="1F497D" w:themeColor="text2"/>
                      <w:sz w:val="28"/>
                      <w:szCs w:val="28"/>
                    </w:rPr>
                    <w:t>“</w:t>
                  </w:r>
                  <w:r w:rsidRPr="00D41417">
                    <w:rPr>
                      <w:rFonts w:ascii="Cambria" w:hAnsi="Cambria"/>
                      <w:b/>
                      <w:color w:val="1F497D"/>
                      <w:sz w:val="28"/>
                      <w:szCs w:val="28"/>
                    </w:rPr>
                    <w:t xml:space="preserve">Study of </w:t>
                  </w:r>
                  <w:r>
                    <w:rPr>
                      <w:rFonts w:asciiTheme="majorHAnsi" w:hAnsiTheme="majorHAnsi"/>
                      <w:b/>
                      <w:color w:val="1F497D" w:themeColor="text2"/>
                      <w:sz w:val="28"/>
                      <w:szCs w:val="28"/>
                    </w:rPr>
                    <w:t>iron s</w:t>
                  </w:r>
                  <w:r w:rsidRPr="00D41417">
                    <w:rPr>
                      <w:rFonts w:ascii="Cambria" w:hAnsi="Cambria"/>
                      <w:b/>
                      <w:color w:val="1F497D"/>
                      <w:sz w:val="28"/>
                      <w:szCs w:val="28"/>
                    </w:rPr>
                    <w:t xml:space="preserve">tatus </w:t>
                  </w:r>
                  <w:r>
                    <w:rPr>
                      <w:rFonts w:asciiTheme="majorHAnsi" w:hAnsiTheme="majorHAnsi"/>
                      <w:b/>
                      <w:color w:val="1F497D" w:themeColor="text2"/>
                      <w:sz w:val="28"/>
                      <w:szCs w:val="28"/>
                    </w:rPr>
                    <w:t>i</w:t>
                  </w:r>
                  <w:r w:rsidRPr="00D41417">
                    <w:rPr>
                      <w:rFonts w:ascii="Cambria" w:hAnsi="Cambria"/>
                      <w:b/>
                      <w:color w:val="1F497D"/>
                      <w:sz w:val="28"/>
                      <w:szCs w:val="28"/>
                    </w:rPr>
                    <w:t xml:space="preserve">n </w:t>
                  </w:r>
                  <w:r>
                    <w:rPr>
                      <w:rFonts w:asciiTheme="majorHAnsi" w:hAnsiTheme="majorHAnsi"/>
                      <w:b/>
                      <w:color w:val="1F497D" w:themeColor="text2"/>
                      <w:sz w:val="28"/>
                      <w:szCs w:val="28"/>
                    </w:rPr>
                    <w:t>female medical s</w:t>
                  </w:r>
                  <w:r w:rsidRPr="00D41417">
                    <w:rPr>
                      <w:rFonts w:ascii="Cambria" w:hAnsi="Cambria"/>
                      <w:b/>
                      <w:color w:val="1F497D"/>
                      <w:sz w:val="28"/>
                      <w:szCs w:val="28"/>
                    </w:rPr>
                    <w:t>tudents</w:t>
                  </w:r>
                  <w:r>
                    <w:rPr>
                      <w:rFonts w:asciiTheme="majorHAnsi" w:hAnsiTheme="majorHAnsi"/>
                      <w:b/>
                      <w:color w:val="1F497D" w:themeColor="text2"/>
                      <w:sz w:val="28"/>
                      <w:szCs w:val="28"/>
                    </w:rPr>
                    <w:t>”</w:t>
                  </w:r>
                </w:p>
                <w:p w:rsidR="00DC5D69" w:rsidRPr="000716BA" w:rsidRDefault="00DC5D69" w:rsidP="00DC5D69">
                  <w:pPr>
                    <w:pStyle w:val="ListParagraph"/>
                    <w:spacing w:after="0"/>
                    <w:jc w:val="right"/>
                    <w:rPr>
                      <w:rFonts w:asciiTheme="majorHAnsi" w:hAnsiTheme="majorHAnsi"/>
                      <w:b/>
                    </w:rPr>
                  </w:pPr>
                  <w:r w:rsidRPr="000716BA">
                    <w:rPr>
                      <w:rFonts w:asciiTheme="majorHAnsi" w:hAnsiTheme="majorHAnsi"/>
                      <w:b/>
                      <w:vertAlign w:val="superscript"/>
                    </w:rPr>
                    <w:t>1</w:t>
                  </w:r>
                  <w:r w:rsidRPr="000716BA">
                    <w:rPr>
                      <w:rFonts w:asciiTheme="majorHAnsi" w:hAnsiTheme="majorHAnsi"/>
                      <w:b/>
                    </w:rPr>
                    <w:t xml:space="preserve">Dr. Sarita Modi, </w:t>
                  </w:r>
                  <w:r w:rsidRPr="000716BA">
                    <w:rPr>
                      <w:rFonts w:asciiTheme="majorHAnsi" w:hAnsiTheme="majorHAnsi"/>
                      <w:b/>
                      <w:vertAlign w:val="superscript"/>
                    </w:rPr>
                    <w:t>2</w:t>
                  </w:r>
                  <w:r w:rsidRPr="000716BA">
                    <w:rPr>
                      <w:rFonts w:asciiTheme="majorHAnsi" w:hAnsiTheme="majorHAnsi"/>
                      <w:b/>
                    </w:rPr>
                    <w:t>Dr. Bose Sukhwant</w:t>
                  </w:r>
                </w:p>
                <w:p w:rsidR="00DC5D69" w:rsidRPr="000716BA" w:rsidRDefault="00DC5D69" w:rsidP="00DC5D69">
                  <w:pPr>
                    <w:pStyle w:val="ListParagraph"/>
                    <w:spacing w:after="0"/>
                    <w:jc w:val="right"/>
                    <w:rPr>
                      <w:rFonts w:asciiTheme="majorHAnsi" w:hAnsiTheme="majorHAnsi"/>
                    </w:rPr>
                  </w:pPr>
                </w:p>
                <w:p w:rsidR="00DC5D69" w:rsidRPr="000716BA" w:rsidRDefault="00DC5D69" w:rsidP="00DC5D69">
                  <w:pPr>
                    <w:spacing w:after="0"/>
                    <w:jc w:val="right"/>
                    <w:rPr>
                      <w:rFonts w:asciiTheme="majorHAnsi" w:hAnsiTheme="majorHAnsi"/>
                    </w:rPr>
                  </w:pPr>
                  <w:r w:rsidRPr="000716BA">
                    <w:rPr>
                      <w:rFonts w:asciiTheme="majorHAnsi" w:hAnsiTheme="majorHAnsi"/>
                      <w:vertAlign w:val="superscript"/>
                    </w:rPr>
                    <w:t>1</w:t>
                  </w:r>
                  <w:r w:rsidRPr="000716BA">
                    <w:rPr>
                      <w:rFonts w:asciiTheme="majorHAnsi" w:hAnsiTheme="majorHAnsi"/>
                    </w:rPr>
                    <w:t xml:space="preserve">Asst. Prof. </w:t>
                  </w:r>
                  <w:r>
                    <w:rPr>
                      <w:rFonts w:asciiTheme="majorHAnsi" w:hAnsiTheme="majorHAnsi"/>
                    </w:rPr>
                    <w:t xml:space="preserve">, </w:t>
                  </w:r>
                  <w:r w:rsidRPr="000716BA">
                    <w:rPr>
                      <w:rFonts w:asciiTheme="majorHAnsi" w:hAnsiTheme="majorHAnsi"/>
                    </w:rPr>
                    <w:t>Department of Physiology , SAIMS, Indore.</w:t>
                  </w:r>
                </w:p>
                <w:p w:rsidR="00DC5D69" w:rsidRPr="000716BA" w:rsidRDefault="00DC5D69" w:rsidP="00DC5D69">
                  <w:pPr>
                    <w:spacing w:after="0"/>
                    <w:jc w:val="right"/>
                    <w:rPr>
                      <w:rFonts w:asciiTheme="majorHAnsi" w:hAnsiTheme="majorHAnsi"/>
                    </w:rPr>
                  </w:pPr>
                  <w:r w:rsidRPr="000716BA">
                    <w:rPr>
                      <w:rFonts w:asciiTheme="majorHAnsi" w:hAnsiTheme="majorHAnsi"/>
                      <w:vertAlign w:val="superscript"/>
                    </w:rPr>
                    <w:t>2</w:t>
                  </w:r>
                  <w:r w:rsidRPr="000716BA">
                    <w:rPr>
                      <w:rFonts w:asciiTheme="majorHAnsi" w:hAnsiTheme="majorHAnsi"/>
                    </w:rPr>
                    <w:t xml:space="preserve">Prof. &amp; HOD, Department of Physiology, D. M. E. &amp;  Ex. Dean , SAIMS, Indore. </w:t>
                  </w:r>
                </w:p>
                <w:p w:rsidR="00DC5D69" w:rsidRDefault="00DC5D69" w:rsidP="00DC5D69">
                  <w:pPr>
                    <w:spacing w:after="0"/>
                    <w:jc w:val="right"/>
                    <w:rPr>
                      <w:rFonts w:asciiTheme="majorHAnsi" w:hAnsiTheme="majorHAnsi"/>
                    </w:rPr>
                  </w:pPr>
                  <w:r w:rsidRPr="000716BA">
                    <w:rPr>
                      <w:rFonts w:asciiTheme="majorHAnsi" w:hAnsiTheme="majorHAnsi"/>
                      <w:b/>
                    </w:rPr>
                    <w:t>Corresponding author</w:t>
                  </w:r>
                  <w:r w:rsidRPr="000716BA">
                    <w:rPr>
                      <w:rFonts w:asciiTheme="majorHAnsi" w:hAnsiTheme="majorHAnsi"/>
                    </w:rPr>
                    <w:t xml:space="preserve">: </w:t>
                  </w:r>
                  <w:r w:rsidRPr="000716BA">
                    <w:rPr>
                      <w:rFonts w:asciiTheme="majorHAnsi" w:hAnsiTheme="majorHAnsi"/>
                      <w:b/>
                    </w:rPr>
                    <w:t>E-mail id</w:t>
                  </w:r>
                  <w:r w:rsidRPr="000716BA">
                    <w:rPr>
                      <w:rFonts w:asciiTheme="majorHAnsi" w:hAnsiTheme="majorHAnsi"/>
                    </w:rPr>
                    <w:t xml:space="preserve">: </w:t>
                  </w:r>
                  <w:r w:rsidRPr="00B547B4">
                    <w:rPr>
                      <w:rFonts w:asciiTheme="majorHAnsi" w:hAnsiTheme="majorHAnsi"/>
                    </w:rPr>
                    <w:t>dralokmodi@gmail.com</w:t>
                  </w:r>
                </w:p>
                <w:p w:rsidR="00DC5D69" w:rsidRPr="00170CBA" w:rsidRDefault="00DC5D69" w:rsidP="00DC5D69">
                  <w:pPr>
                    <w:spacing w:after="0"/>
                    <w:jc w:val="right"/>
                    <w:rPr>
                      <w:rFonts w:asciiTheme="majorHAnsi" w:hAnsiTheme="majorHAnsi"/>
                    </w:rPr>
                  </w:pPr>
                  <w:r>
                    <w:rPr>
                      <w:rFonts w:asciiTheme="majorHAnsi" w:hAnsiTheme="majorHAnsi"/>
                    </w:rPr>
                    <w:t>……………………………………………………………………………………………………………………………………………………………......</w:t>
                  </w:r>
                </w:p>
                <w:p w:rsidR="00DC5D69" w:rsidRPr="00D41417" w:rsidRDefault="00DC5D69" w:rsidP="00DC5D69">
                  <w:pPr>
                    <w:spacing w:line="360" w:lineRule="auto"/>
                    <w:ind w:left="-180"/>
                    <w:jc w:val="both"/>
                    <w:rPr>
                      <w:b/>
                      <w:sz w:val="20"/>
                      <w:szCs w:val="20"/>
                    </w:rPr>
                  </w:pPr>
                  <w:r w:rsidRPr="00D41417">
                    <w:rPr>
                      <w:b/>
                      <w:sz w:val="20"/>
                      <w:szCs w:val="20"/>
                    </w:rPr>
                    <w:t>ABSTRACT</w:t>
                  </w:r>
                  <w:r>
                    <w:rPr>
                      <w:b/>
                      <w:sz w:val="20"/>
                      <w:szCs w:val="20"/>
                    </w:rPr>
                    <w:t>:</w:t>
                  </w:r>
                </w:p>
                <w:p w:rsidR="00DC5D69" w:rsidRPr="00D41417" w:rsidRDefault="00DC5D69" w:rsidP="00DC5D69">
                  <w:pPr>
                    <w:spacing w:line="360" w:lineRule="auto"/>
                    <w:ind w:left="-180"/>
                    <w:jc w:val="both"/>
                    <w:rPr>
                      <w:sz w:val="20"/>
                      <w:szCs w:val="20"/>
                    </w:rPr>
                  </w:pPr>
                  <w:r w:rsidRPr="003D3458">
                    <w:rPr>
                      <w:b/>
                      <w:sz w:val="20"/>
                      <w:szCs w:val="20"/>
                    </w:rPr>
                    <w:t xml:space="preserve">Introduction:  </w:t>
                  </w:r>
                  <w:r w:rsidRPr="00D41417">
                    <w:rPr>
                      <w:sz w:val="20"/>
                      <w:szCs w:val="20"/>
                    </w:rPr>
                    <w:t>Nutritional anaemia most commonly affects young females due to increased demands, inadequate and improper dietary habbits and menstrual loss, so this study was undertaken in 358 female medical students of age group 17-22 years to assess their iron status.</w:t>
                  </w:r>
                </w:p>
                <w:p w:rsidR="00DC5D69" w:rsidRPr="00D41417" w:rsidRDefault="00DC5D69" w:rsidP="00DC5D69">
                  <w:pPr>
                    <w:spacing w:line="360" w:lineRule="auto"/>
                    <w:ind w:left="-180"/>
                    <w:jc w:val="both"/>
                    <w:rPr>
                      <w:sz w:val="20"/>
                      <w:szCs w:val="20"/>
                    </w:rPr>
                  </w:pPr>
                  <w:r w:rsidRPr="003D3458">
                    <w:rPr>
                      <w:b/>
                      <w:sz w:val="20"/>
                      <w:szCs w:val="20"/>
                    </w:rPr>
                    <w:t>Methods:</w:t>
                  </w:r>
                  <w:r w:rsidRPr="00D41417">
                    <w:rPr>
                      <w:sz w:val="20"/>
                      <w:szCs w:val="20"/>
                    </w:rPr>
                    <w:t xml:space="preserve"> Blood samples were processed for haemoglobin, Mean corpuscular volume-MCV, Mean corpuscular haemoglobin- MCH, and mean corpuscular haemoglobin concentration-MCHC,Serum iron, total iron binding capacity- TIBC and serum Ferritin.. Transferrin saturation was calculated from the data of serum iron and TIBC. Peripheral smears were studied for RBC morphology. Statistical analysis was done by unpaired t test taking p&lt;0.05 into consideration.  The subjects having haemoglobin &lt;12gm% were labeled as anaemic as per WHO cut-off values, those having anaemia with MCV&lt; 78cuµ, transferrinne saturation &lt;16% serum ferritin &lt; 12ngm/ml and microcytic hypochromic RBCs on peripheral smear were labelled as Iron deficiency anaemia and those with Haemoglobin ≥ 12gm%, MCV&gt; 78cuµ, transferrine saturation &lt;16%, ferritin &lt;12ngm/ml and normocytic normochromic RBCs on peripheral smear were categorized as having Latent anaemia.</w:t>
                  </w:r>
                </w:p>
                <w:p w:rsidR="00DC5D69" w:rsidRPr="00D41417" w:rsidRDefault="00DC5D69" w:rsidP="00DC5D69">
                  <w:pPr>
                    <w:spacing w:line="360" w:lineRule="auto"/>
                    <w:ind w:left="-180"/>
                    <w:jc w:val="both"/>
                    <w:rPr>
                      <w:sz w:val="20"/>
                      <w:szCs w:val="20"/>
                    </w:rPr>
                  </w:pPr>
                  <w:r w:rsidRPr="003D3458">
                    <w:rPr>
                      <w:b/>
                      <w:sz w:val="20"/>
                      <w:szCs w:val="20"/>
                    </w:rPr>
                    <w:t>Results:</w:t>
                  </w:r>
                  <w:r w:rsidRPr="00D41417">
                    <w:rPr>
                      <w:sz w:val="20"/>
                      <w:szCs w:val="20"/>
                    </w:rPr>
                    <w:t xml:space="preserve">   The overall prevalence of anaemia was 22.90%, prevalence of iron deficiency anaemia (IDA) was 18.58 %, that of Latent anaemia (LA) was 16.51%  and 5.30% belonged to other anaemias.  Normal iron status was seen in 66.75%.</w:t>
                  </w:r>
                </w:p>
                <w:p w:rsidR="00DC5D69" w:rsidRPr="00D41417" w:rsidRDefault="00DC5D69" w:rsidP="00DC5D69">
                  <w:pPr>
                    <w:spacing w:line="360" w:lineRule="auto"/>
                    <w:ind w:left="-180"/>
                    <w:jc w:val="both"/>
                    <w:rPr>
                      <w:sz w:val="20"/>
                      <w:szCs w:val="20"/>
                    </w:rPr>
                  </w:pPr>
                  <w:r w:rsidRPr="003D3458">
                    <w:rPr>
                      <w:b/>
                      <w:sz w:val="20"/>
                      <w:szCs w:val="20"/>
                    </w:rPr>
                    <w:t>Conclusion:</w:t>
                  </w:r>
                  <w:r w:rsidRPr="00D41417">
                    <w:rPr>
                      <w:sz w:val="20"/>
                      <w:szCs w:val="20"/>
                    </w:rPr>
                    <w:t xml:space="preserve">  Anaemia is mostly due to iron deficiency and is also seen in urban and educated young females.</w:t>
                  </w:r>
                </w:p>
                <w:p w:rsidR="00DC5D69" w:rsidRDefault="00DC5D69" w:rsidP="00DC5D69">
                  <w:pPr>
                    <w:spacing w:line="360" w:lineRule="auto"/>
                    <w:ind w:left="-180"/>
                    <w:jc w:val="both"/>
                    <w:rPr>
                      <w:sz w:val="20"/>
                      <w:szCs w:val="20"/>
                    </w:rPr>
                  </w:pPr>
                  <w:r w:rsidRPr="003D3458">
                    <w:rPr>
                      <w:b/>
                      <w:sz w:val="20"/>
                      <w:szCs w:val="20"/>
                    </w:rPr>
                    <w:t>Key words</w:t>
                  </w:r>
                  <w:r>
                    <w:rPr>
                      <w:b/>
                      <w:sz w:val="20"/>
                      <w:szCs w:val="20"/>
                    </w:rPr>
                    <w:t xml:space="preserve"> : </w:t>
                  </w:r>
                  <w:r w:rsidRPr="00D41417">
                    <w:rPr>
                      <w:sz w:val="20"/>
                      <w:szCs w:val="20"/>
                    </w:rPr>
                    <w:t xml:space="preserve"> haemoglobin,, transferrine saturation, ferritin.</w:t>
                  </w:r>
                </w:p>
                <w:p w:rsidR="00DC5D69" w:rsidRDefault="00DC5D69" w:rsidP="00DC5D69">
                  <w:pPr>
                    <w:jc w:val="both"/>
                  </w:pPr>
                </w:p>
              </w:txbxContent>
            </v:textbox>
          </v:shape>
        </w:pict>
      </w:r>
    </w:p>
    <w:p w:rsidR="00DC5D69" w:rsidRPr="00DC5D69" w:rsidRDefault="00DC5D69" w:rsidP="00DC5D69"/>
    <w:p w:rsidR="00DC5D69" w:rsidRPr="00DC5D69" w:rsidRDefault="00DC5D69" w:rsidP="00DC5D69"/>
    <w:p w:rsidR="00DC5D69" w:rsidRPr="00DC5D69" w:rsidRDefault="00DC5D69" w:rsidP="00DC5D69"/>
    <w:p w:rsidR="00DC5D69" w:rsidRDefault="00DC5D69" w:rsidP="00DC5D69">
      <w:pPr>
        <w:spacing w:line="360" w:lineRule="auto"/>
      </w:pPr>
    </w:p>
    <w:p w:rsidR="00DC5D69" w:rsidRDefault="00DC5D69" w:rsidP="00DC5D69">
      <w:pPr>
        <w:spacing w:line="360" w:lineRule="auto"/>
        <w:rPr>
          <w:rFonts w:ascii="Times New Roman" w:hAnsi="Times New Roman" w:cs="Times New Roman"/>
          <w:b/>
          <w:sz w:val="20"/>
          <w:szCs w:val="20"/>
        </w:rPr>
      </w:pPr>
      <w:r w:rsidRPr="00DC5D69">
        <w:rPr>
          <w:rFonts w:ascii="Times New Roman" w:hAnsi="Times New Roman" w:cs="Times New Roman"/>
          <w:b/>
          <w:sz w:val="20"/>
          <w:szCs w:val="20"/>
        </w:rPr>
        <w:t>ABSTRACT:</w:t>
      </w:r>
    </w:p>
    <w:p w:rsidR="00DC5D69" w:rsidRPr="00DC5D69" w:rsidRDefault="00DC5D69" w:rsidP="00DC5D69">
      <w:pPr>
        <w:spacing w:after="0" w:line="360" w:lineRule="auto"/>
        <w:rPr>
          <w:rFonts w:ascii="Times New Roman" w:hAnsi="Times New Roman" w:cs="Times New Roman"/>
          <w:b/>
          <w:sz w:val="20"/>
          <w:szCs w:val="20"/>
        </w:rPr>
      </w:pPr>
      <w:r w:rsidRPr="00DC5D69">
        <w:rPr>
          <w:rFonts w:ascii="Times New Roman" w:hAnsi="Times New Roman" w:cs="Times New Roman"/>
          <w:b/>
          <w:sz w:val="20"/>
          <w:szCs w:val="20"/>
        </w:rPr>
        <w:t xml:space="preserve">Introduction:  </w:t>
      </w:r>
      <w:r w:rsidRPr="00DC5D69">
        <w:rPr>
          <w:rFonts w:ascii="Times New Roman" w:hAnsi="Times New Roman" w:cs="Times New Roman"/>
          <w:sz w:val="20"/>
          <w:szCs w:val="20"/>
        </w:rPr>
        <w:t>Nutritional anaemia most commonly affects young females due to increased demands, inadequate and improper dietary habbits and menstrual loss, so this study was undertaken in 358 female medical students of age group 17-22 years to assess their iron status.</w:t>
      </w:r>
    </w:p>
    <w:p w:rsidR="00DC5D69" w:rsidRPr="00DC5D69" w:rsidRDefault="00DC5D69" w:rsidP="00DC5D69">
      <w:pPr>
        <w:spacing w:after="0" w:line="360" w:lineRule="auto"/>
        <w:jc w:val="both"/>
        <w:rPr>
          <w:rFonts w:ascii="Times New Roman" w:hAnsi="Times New Roman" w:cs="Times New Roman"/>
          <w:sz w:val="20"/>
          <w:szCs w:val="20"/>
        </w:rPr>
      </w:pPr>
      <w:r w:rsidRPr="00DC5D69">
        <w:rPr>
          <w:rFonts w:ascii="Times New Roman" w:hAnsi="Times New Roman" w:cs="Times New Roman"/>
          <w:b/>
          <w:sz w:val="20"/>
          <w:szCs w:val="20"/>
        </w:rPr>
        <w:t>Methods:</w:t>
      </w:r>
      <w:r w:rsidRPr="00DC5D69">
        <w:rPr>
          <w:rFonts w:ascii="Times New Roman" w:hAnsi="Times New Roman" w:cs="Times New Roman"/>
          <w:sz w:val="20"/>
          <w:szCs w:val="20"/>
        </w:rPr>
        <w:t xml:space="preserve"> Blood samples were processed for haemoglobin, Mean corpuscular volume-MCV, Mean corpuscular haemoglobin- MCH, and mean corpuscular haemoglobin concentration-MCHC,Serum iron, total iron binding capacity- TIBC and serum Ferritin.. Transferrin saturation was calculated from the data of serum iron and TIBC. Peripheral smears were studied for RBC morphology. Statistical analysis was done by unpaired t test taking p&lt;0.05 into consideration.  The subjects having haemoglobin &lt;12gm% were labeled as anaemic as per WHO cut-off values, those having anaemia with MCV&lt; 78cuµ, transferrinne saturation &lt;16% serum ferritin &lt; 12ngm/ml and microcytic hypochromic RBCs on peripheral smear were labelled as Iron deficiency anaemia and those with Haemoglobin ≥ 12gm%, MCV&gt; 78cuµ, transferrine saturation &lt;16%, ferritin &lt;12ngm/ml and normocytic normochromic RBCs on peripheral smear were categorized as having Latent anaemia.</w:t>
      </w:r>
    </w:p>
    <w:p w:rsidR="00DC5D69" w:rsidRPr="00DC5D69" w:rsidRDefault="00DC5D69" w:rsidP="00DC5D69">
      <w:pPr>
        <w:spacing w:after="0" w:line="360" w:lineRule="auto"/>
        <w:jc w:val="both"/>
        <w:rPr>
          <w:rFonts w:ascii="Times New Roman" w:hAnsi="Times New Roman" w:cs="Times New Roman"/>
          <w:sz w:val="20"/>
          <w:szCs w:val="20"/>
        </w:rPr>
      </w:pPr>
      <w:r w:rsidRPr="00DC5D69">
        <w:rPr>
          <w:rFonts w:ascii="Times New Roman" w:hAnsi="Times New Roman" w:cs="Times New Roman"/>
          <w:b/>
          <w:sz w:val="20"/>
          <w:szCs w:val="20"/>
        </w:rPr>
        <w:t>Results:</w:t>
      </w:r>
      <w:r w:rsidRPr="00DC5D69">
        <w:rPr>
          <w:rFonts w:ascii="Times New Roman" w:hAnsi="Times New Roman" w:cs="Times New Roman"/>
          <w:sz w:val="20"/>
          <w:szCs w:val="20"/>
        </w:rPr>
        <w:t xml:space="preserve">   The overall prevalence of anaemia was 22.90%, prevalence of iron deficiency anaemia (IDA) was 18.58 %, that of Latent anaemia (LA) was 16.51%  and 5.30% belonged to other anaemias.  Normal iron status was seen in 66.75%.  </w:t>
      </w:r>
    </w:p>
    <w:p w:rsidR="00DC5D69" w:rsidRPr="00DC5D69" w:rsidRDefault="00DC5D69" w:rsidP="00DC5D69">
      <w:pPr>
        <w:spacing w:after="0" w:line="360" w:lineRule="auto"/>
        <w:jc w:val="both"/>
        <w:rPr>
          <w:rFonts w:ascii="Times New Roman" w:hAnsi="Times New Roman" w:cs="Times New Roman"/>
          <w:sz w:val="20"/>
          <w:szCs w:val="20"/>
        </w:rPr>
      </w:pPr>
      <w:r w:rsidRPr="00DC5D69">
        <w:rPr>
          <w:rFonts w:ascii="Times New Roman" w:hAnsi="Times New Roman" w:cs="Times New Roman"/>
          <w:b/>
          <w:sz w:val="20"/>
          <w:szCs w:val="20"/>
        </w:rPr>
        <w:t>Conclusion:</w:t>
      </w:r>
      <w:r w:rsidRPr="00DC5D69">
        <w:rPr>
          <w:rFonts w:ascii="Times New Roman" w:hAnsi="Times New Roman" w:cs="Times New Roman"/>
          <w:sz w:val="20"/>
          <w:szCs w:val="20"/>
        </w:rPr>
        <w:t xml:space="preserve">  Anaemia is mostly due to iron deficiency and is also seen in urban and educated young females. </w:t>
      </w:r>
    </w:p>
    <w:p w:rsidR="00DC5D69" w:rsidRPr="00DC5D69" w:rsidRDefault="00DC5D69" w:rsidP="00DC5D69">
      <w:pPr>
        <w:spacing w:after="0" w:line="360" w:lineRule="auto"/>
        <w:jc w:val="both"/>
        <w:rPr>
          <w:rFonts w:ascii="Times New Roman" w:hAnsi="Times New Roman" w:cs="Times New Roman"/>
          <w:sz w:val="20"/>
          <w:szCs w:val="20"/>
        </w:rPr>
      </w:pPr>
      <w:r w:rsidRPr="00DC5D69">
        <w:rPr>
          <w:rFonts w:ascii="Times New Roman" w:hAnsi="Times New Roman" w:cs="Times New Roman"/>
          <w:b/>
          <w:sz w:val="20"/>
          <w:szCs w:val="20"/>
        </w:rPr>
        <w:t xml:space="preserve">Key words : </w:t>
      </w:r>
      <w:r w:rsidRPr="00DC5D69">
        <w:rPr>
          <w:rFonts w:ascii="Times New Roman" w:hAnsi="Times New Roman" w:cs="Times New Roman"/>
          <w:sz w:val="20"/>
          <w:szCs w:val="20"/>
        </w:rPr>
        <w:t xml:space="preserve"> haemoglobin ,  transferrine saturation, ferritin.</w:t>
      </w:r>
    </w:p>
    <w:p w:rsidR="00DC5D69" w:rsidRPr="00DC5D69" w:rsidRDefault="00DC5D69" w:rsidP="00DC5D69">
      <w:pPr>
        <w:spacing w:line="360" w:lineRule="auto"/>
        <w:ind w:left="-180"/>
        <w:jc w:val="both"/>
        <w:rPr>
          <w:rFonts w:ascii="Times New Roman" w:hAnsi="Times New Roman" w:cs="Times New Roman"/>
          <w:b/>
          <w:sz w:val="20"/>
          <w:szCs w:val="20"/>
        </w:rPr>
      </w:pPr>
      <w:r w:rsidRPr="00DC5D69">
        <w:rPr>
          <w:rFonts w:ascii="Times New Roman" w:hAnsi="Times New Roman" w:cs="Times New Roman"/>
          <w:b/>
          <w:sz w:val="20"/>
          <w:szCs w:val="20"/>
        </w:rPr>
        <w:t>……………………………………………………………………………………………………………………………..</w:t>
      </w:r>
    </w:p>
    <w:p w:rsidR="00274AA0" w:rsidRPr="00DC5D69" w:rsidRDefault="00274AA0" w:rsidP="00DC5D69">
      <w:pPr>
        <w:tabs>
          <w:tab w:val="left" w:pos="1271"/>
        </w:tabs>
      </w:pPr>
    </w:p>
    <w:sectPr w:rsidR="00274AA0" w:rsidRPr="00DC5D69"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D59" w:rsidRDefault="00785D59" w:rsidP="00DC5D69">
      <w:pPr>
        <w:spacing w:after="0" w:line="240" w:lineRule="auto"/>
      </w:pPr>
      <w:r>
        <w:separator/>
      </w:r>
    </w:p>
  </w:endnote>
  <w:endnote w:type="continuationSeparator" w:id="1">
    <w:p w:rsidR="00785D59" w:rsidRDefault="00785D59" w:rsidP="00DC5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69" w:rsidRDefault="00DC5D69" w:rsidP="00DC5D69">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D59" w:rsidRDefault="00785D59" w:rsidP="00DC5D69">
      <w:pPr>
        <w:spacing w:after="0" w:line="240" w:lineRule="auto"/>
      </w:pPr>
      <w:r>
        <w:separator/>
      </w:r>
    </w:p>
  </w:footnote>
  <w:footnote w:type="continuationSeparator" w:id="1">
    <w:p w:rsidR="00785D59" w:rsidRDefault="00785D59" w:rsidP="00DC5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69" w:rsidRDefault="00DC5D69" w:rsidP="00DC5D69">
    <w:pPr>
      <w:pStyle w:val="Header"/>
      <w:jc w:val="center"/>
    </w:pPr>
    <w:r>
      <w:t>Indian Journal of Basic &amp; Applied Medical Research; March 2013: Issue-6, Vol.-2, P. 518-526</w:t>
    </w:r>
  </w:p>
  <w:p w:rsidR="00DC5D69" w:rsidRDefault="00DC5D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C5D69"/>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14652"/>
    <w:rsid w:val="0041572D"/>
    <w:rsid w:val="00416D01"/>
    <w:rsid w:val="0042573C"/>
    <w:rsid w:val="0043219C"/>
    <w:rsid w:val="00446411"/>
    <w:rsid w:val="00484BE3"/>
    <w:rsid w:val="004973AE"/>
    <w:rsid w:val="004B4FDA"/>
    <w:rsid w:val="004D2BBE"/>
    <w:rsid w:val="004E4507"/>
    <w:rsid w:val="005020B8"/>
    <w:rsid w:val="00517ABE"/>
    <w:rsid w:val="00536EBD"/>
    <w:rsid w:val="00540878"/>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4B46"/>
    <w:rsid w:val="006D43AD"/>
    <w:rsid w:val="006D4D02"/>
    <w:rsid w:val="006E340D"/>
    <w:rsid w:val="006E545A"/>
    <w:rsid w:val="006F649B"/>
    <w:rsid w:val="0071032E"/>
    <w:rsid w:val="007109C4"/>
    <w:rsid w:val="00727BD4"/>
    <w:rsid w:val="00730019"/>
    <w:rsid w:val="00752DD4"/>
    <w:rsid w:val="00754D89"/>
    <w:rsid w:val="00770494"/>
    <w:rsid w:val="007740A7"/>
    <w:rsid w:val="00775FE8"/>
    <w:rsid w:val="00784D8E"/>
    <w:rsid w:val="00785D59"/>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2695"/>
    <w:rsid w:val="00A537C7"/>
    <w:rsid w:val="00A55010"/>
    <w:rsid w:val="00A90698"/>
    <w:rsid w:val="00AA4C01"/>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C5D69"/>
    <w:rsid w:val="00DD20D2"/>
    <w:rsid w:val="00DD221C"/>
    <w:rsid w:val="00DD6061"/>
    <w:rsid w:val="00DE1B1F"/>
    <w:rsid w:val="00DF35B9"/>
    <w:rsid w:val="00E153EF"/>
    <w:rsid w:val="00E15F81"/>
    <w:rsid w:val="00E41EED"/>
    <w:rsid w:val="00E50516"/>
    <w:rsid w:val="00E5152D"/>
    <w:rsid w:val="00E5331F"/>
    <w:rsid w:val="00E53B0E"/>
    <w:rsid w:val="00E560D1"/>
    <w:rsid w:val="00EB0930"/>
    <w:rsid w:val="00EC1516"/>
    <w:rsid w:val="00EC240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5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D69"/>
  </w:style>
  <w:style w:type="paragraph" w:styleId="Footer">
    <w:name w:val="footer"/>
    <w:basedOn w:val="Normal"/>
    <w:link w:val="FooterChar"/>
    <w:uiPriority w:val="99"/>
    <w:semiHidden/>
    <w:unhideWhenUsed/>
    <w:rsid w:val="00DC5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D69"/>
  </w:style>
  <w:style w:type="paragraph" w:styleId="ListParagraph">
    <w:name w:val="List Paragraph"/>
    <w:basedOn w:val="Normal"/>
    <w:qFormat/>
    <w:rsid w:val="00DC5D6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2013-02-28T19:58:00Z</dcterms:created>
  <dcterms:modified xsi:type="dcterms:W3CDTF">2013-02-28T20:03:00Z</dcterms:modified>
</cp:coreProperties>
</file>